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763" w:rsidRDefault="00F81D9A">
      <w:pPr>
        <w:jc w:val="center"/>
        <w:rPr>
          <w:b/>
        </w:rPr>
      </w:pPr>
      <w:r>
        <w:rPr>
          <w:noProof/>
        </w:rPr>
        <w:drawing>
          <wp:inline distT="0" distB="0" distL="0" distR="0">
            <wp:extent cx="3486150" cy="3314700"/>
            <wp:effectExtent l="0" t="0" r="0" b="0"/>
            <wp:docPr id="150373164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3486150" cy="3314700"/>
                    </a:xfrm>
                    <a:prstGeom prst="rect">
                      <a:avLst/>
                    </a:prstGeom>
                    <a:ln/>
                  </pic:spPr>
                </pic:pic>
              </a:graphicData>
            </a:graphic>
          </wp:inline>
        </w:drawing>
      </w:r>
    </w:p>
    <w:tbl>
      <w:tblPr>
        <w:tblStyle w:val="a"/>
        <w:tblW w:w="11340" w:type="dxa"/>
        <w:tblBorders>
          <w:top w:val="nil"/>
          <w:left w:val="nil"/>
          <w:bottom w:val="nil"/>
          <w:right w:val="nil"/>
          <w:insideH w:val="nil"/>
          <w:insideV w:val="nil"/>
        </w:tblBorders>
        <w:tblLayout w:type="fixed"/>
        <w:tblLook w:val="0400" w:firstRow="0" w:lastRow="0" w:firstColumn="0" w:lastColumn="0" w:noHBand="0" w:noVBand="1"/>
      </w:tblPr>
      <w:tblGrid>
        <w:gridCol w:w="8221"/>
        <w:gridCol w:w="3119"/>
      </w:tblGrid>
      <w:tr w:rsidR="00743763">
        <w:tc>
          <w:tcPr>
            <w:tcW w:w="8221" w:type="dxa"/>
            <w:tcBorders>
              <w:right w:val="single" w:sz="4" w:space="0" w:color="BFBFBF"/>
            </w:tcBorders>
          </w:tcPr>
          <w:p w:rsidR="00743763" w:rsidRDefault="00F81D9A">
            <w:pPr>
              <w:spacing w:after="160" w:line="278" w:lineRule="auto"/>
            </w:pPr>
            <w:r>
              <w:rPr>
                <w:b/>
              </w:rPr>
              <w:t>Project title:</w:t>
            </w:r>
            <w:r>
              <w:br/>
              <w:t>Boosting digital and green skills for a resilient and sustainable Western Balkan society</w:t>
            </w:r>
          </w:p>
          <w:p w:rsidR="00743763" w:rsidRDefault="00F81D9A">
            <w:pPr>
              <w:spacing w:after="160" w:line="278" w:lineRule="auto"/>
            </w:pPr>
            <w:r>
              <w:rPr>
                <w:b/>
              </w:rPr>
              <w:t>Acronym:</w:t>
            </w:r>
            <w:r>
              <w:br/>
              <w:t>SKILL2SUSTAIN</w:t>
            </w:r>
          </w:p>
          <w:p w:rsidR="00743763" w:rsidRDefault="00F81D9A">
            <w:pPr>
              <w:spacing w:after="160" w:line="278" w:lineRule="auto"/>
            </w:pPr>
            <w:r>
              <w:rPr>
                <w:b/>
              </w:rPr>
              <w:t>Program:</w:t>
            </w:r>
            <w:r>
              <w:br/>
              <w:t>ERASMUS-EDU-2024-CBHE-STRAND-2 (</w:t>
            </w:r>
            <w:r w:rsidR="001C48DB">
              <w:t xml:space="preserve">Project no. </w:t>
            </w:r>
            <w:r>
              <w:t>101178204)</w:t>
            </w:r>
          </w:p>
          <w:p w:rsidR="00743763" w:rsidRDefault="00F81D9A">
            <w:pPr>
              <w:spacing w:after="160" w:line="278" w:lineRule="auto"/>
            </w:pPr>
            <w:r>
              <w:rPr>
                <w:b/>
              </w:rPr>
              <w:t>Duration:</w:t>
            </w:r>
            <w:r>
              <w:br/>
              <w:t xml:space="preserve">36 </w:t>
            </w:r>
            <w:r w:rsidR="00FB135A">
              <w:t>months</w:t>
            </w:r>
            <w:r>
              <w:t xml:space="preserve"> (2025-2028) </w:t>
            </w:r>
          </w:p>
          <w:p w:rsidR="00743763" w:rsidRDefault="00F81D9A">
            <w:r>
              <w:rPr>
                <w:b/>
              </w:rPr>
              <w:t>Abstract:</w:t>
            </w:r>
            <w:r>
              <w:br/>
              <w:t>Boosting digital and green skills for a resilient and sustainable Western Balkan  Boosting digital and green skills for a resilient and sustaina</w:t>
            </w:r>
            <w:bookmarkStart w:id="0" w:name="_GoBack"/>
            <w:bookmarkEnd w:id="0"/>
            <w:r>
              <w:t>ble Western Balkan society – SKILL2SUSTAIN is fully aligned with the objectives of the CBHE action, its activities, and the specificities of Strand II. The urgent need for the Western Balkans to accelerate the twin green and digital transition has been recognized through analyses conducted in the target countries of Region 1. The broader aim of the project is to mainstream a holistic approach to digitalization and the green transition, while its specific objectives are in line with the EU Green Deal, the Digital Education Action Plan 2021–2027, and the Council Recommendation on learning for the green transition and sustainable development. The project supports higher education systems in creating green and digital societal ecosystems.</w:t>
            </w:r>
          </w:p>
          <w:p w:rsidR="00743763" w:rsidRDefault="00F81D9A">
            <w:r>
              <w:t>A Digital and Green Initiative for WBC Education in Academia will be developed and signed by all project partners. Over three years, 10 curricula will be modernized or newly developed and implemented across 5 WBC HEIs: 2 new BSc programs in Disaster Risk Management, 3 modernized BSc/MSc programs, and 5 new certified LLL programs. These will introduce innovative green topics such as circular economy, energy efficiency, renovation wave, climate change adaptation, sustainability, disaster resilience, and digital skills in Building Information Modeling (BIM) and Geographic Information Systems (GIS).</w:t>
            </w:r>
          </w:p>
          <w:p w:rsidR="00743763" w:rsidRDefault="00F81D9A">
            <w:r>
              <w:t>The modernization and development paths will be defined based on national and regional needs, supported by knowledge transfer from EU HEIs. Furthermore, 5 ICT-based interoperable Research and Education Centers will be established at WBC HEIs. Teaching methodologies will be enhanced through study visits, and blended learning materials will be offered in EN/ALB/MNG/BIH/SRB via an ICT collaboration platform and an open-access e-library.</w:t>
            </w:r>
          </w:p>
          <w:p w:rsidR="00743763" w:rsidRDefault="00743763"/>
          <w:p w:rsidR="00743763" w:rsidRDefault="00F81D9A">
            <w:r>
              <w:rPr>
                <w:b/>
              </w:rPr>
              <w:t>Specific project objectives:</w:t>
            </w:r>
            <w:r>
              <w:br/>
            </w:r>
          </w:p>
          <w:p w:rsidR="00743763" w:rsidRDefault="00F81D9A">
            <w:pPr>
              <w:numPr>
                <w:ilvl w:val="0"/>
                <w:numId w:val="1"/>
              </w:numPr>
              <w:pBdr>
                <w:top w:val="nil"/>
                <w:left w:val="nil"/>
                <w:bottom w:val="nil"/>
                <w:right w:val="nil"/>
                <w:between w:val="nil"/>
              </w:pBdr>
              <w:spacing w:line="278" w:lineRule="auto"/>
              <w:rPr>
                <w:color w:val="000000"/>
              </w:rPr>
            </w:pPr>
            <w:r>
              <w:rPr>
                <w:b/>
                <w:color w:val="000000"/>
              </w:rPr>
              <w:t>SO1</w:t>
            </w:r>
            <w:r>
              <w:rPr>
                <w:color w:val="000000"/>
              </w:rPr>
              <w:t>: Establish Research and Education Centres (RECs) for green and digital transition within each WBC HEIs.</w:t>
            </w:r>
          </w:p>
          <w:p w:rsidR="00743763" w:rsidRDefault="00F81D9A">
            <w:pPr>
              <w:numPr>
                <w:ilvl w:val="0"/>
                <w:numId w:val="1"/>
              </w:numPr>
              <w:pBdr>
                <w:top w:val="nil"/>
                <w:left w:val="nil"/>
                <w:bottom w:val="nil"/>
                <w:right w:val="nil"/>
                <w:between w:val="nil"/>
              </w:pBdr>
              <w:spacing w:line="278" w:lineRule="auto"/>
              <w:rPr>
                <w:color w:val="000000"/>
              </w:rPr>
            </w:pPr>
            <w:r>
              <w:rPr>
                <w:b/>
                <w:color w:val="000000"/>
              </w:rPr>
              <w:t>SO2</w:t>
            </w:r>
            <w:r>
              <w:rPr>
                <w:color w:val="000000"/>
              </w:rPr>
              <w:t>: Raise awareness of staff and student community on the needs for green and digital skills within HEIs.</w:t>
            </w:r>
          </w:p>
          <w:p w:rsidR="00743763" w:rsidRDefault="00F81D9A">
            <w:pPr>
              <w:numPr>
                <w:ilvl w:val="0"/>
                <w:numId w:val="1"/>
              </w:numPr>
              <w:pBdr>
                <w:top w:val="nil"/>
                <w:left w:val="nil"/>
                <w:bottom w:val="nil"/>
                <w:right w:val="nil"/>
                <w:between w:val="nil"/>
              </w:pBdr>
              <w:spacing w:line="278" w:lineRule="auto"/>
              <w:rPr>
                <w:color w:val="000000"/>
              </w:rPr>
            </w:pPr>
            <w:r>
              <w:rPr>
                <w:b/>
                <w:color w:val="000000"/>
              </w:rPr>
              <w:t>SO3</w:t>
            </w:r>
            <w:r>
              <w:rPr>
                <w:color w:val="000000"/>
              </w:rPr>
              <w:t>: Promote green transition and digitalization culture within WBC HEIs.</w:t>
            </w:r>
          </w:p>
          <w:p w:rsidR="00743763" w:rsidRDefault="00F81D9A">
            <w:pPr>
              <w:numPr>
                <w:ilvl w:val="0"/>
                <w:numId w:val="1"/>
              </w:numPr>
              <w:pBdr>
                <w:top w:val="nil"/>
                <w:left w:val="nil"/>
                <w:bottom w:val="nil"/>
                <w:right w:val="nil"/>
                <w:between w:val="nil"/>
              </w:pBdr>
              <w:spacing w:line="278" w:lineRule="auto"/>
              <w:rPr>
                <w:color w:val="000000"/>
              </w:rPr>
            </w:pPr>
            <w:r>
              <w:rPr>
                <w:b/>
                <w:color w:val="000000"/>
              </w:rPr>
              <w:t>SO4</w:t>
            </w:r>
            <w:r>
              <w:rPr>
                <w:color w:val="000000"/>
              </w:rPr>
              <w:t>: Increase Synergies between academia and stakeholders for implementing joint initiatives for green transition and digitalization.</w:t>
            </w:r>
          </w:p>
          <w:p w:rsidR="00743763" w:rsidRDefault="00F81D9A">
            <w:pPr>
              <w:numPr>
                <w:ilvl w:val="0"/>
                <w:numId w:val="1"/>
              </w:numPr>
              <w:pBdr>
                <w:top w:val="nil"/>
                <w:left w:val="nil"/>
                <w:bottom w:val="nil"/>
                <w:right w:val="nil"/>
                <w:between w:val="nil"/>
              </w:pBdr>
              <w:spacing w:after="160" w:line="278" w:lineRule="auto"/>
              <w:rPr>
                <w:color w:val="000000"/>
              </w:rPr>
            </w:pPr>
            <w:r>
              <w:rPr>
                <w:b/>
                <w:color w:val="000000"/>
              </w:rPr>
              <w:t>SO5</w:t>
            </w:r>
            <w:r>
              <w:rPr>
                <w:color w:val="000000"/>
              </w:rPr>
              <w:t>: Reinforce networking and collaboration between staff and student communities of WBC and EU about digitalization and green transition actions.</w:t>
            </w:r>
          </w:p>
          <w:p w:rsidR="00743763" w:rsidRDefault="00743763">
            <w:pPr>
              <w:spacing w:after="160" w:line="278" w:lineRule="auto"/>
            </w:pPr>
          </w:p>
          <w:p w:rsidR="00743763" w:rsidRDefault="00F81D9A">
            <w:pPr>
              <w:rPr>
                <w:b/>
              </w:rPr>
            </w:pPr>
            <w:r>
              <w:rPr>
                <w:b/>
              </w:rPr>
              <w:t>Partners:</w:t>
            </w:r>
          </w:p>
          <w:p w:rsidR="00743763" w:rsidRPr="001C48DB" w:rsidRDefault="00F81D9A">
            <w:pPr>
              <w:numPr>
                <w:ilvl w:val="0"/>
                <w:numId w:val="2"/>
              </w:numPr>
              <w:pBdr>
                <w:top w:val="nil"/>
                <w:left w:val="nil"/>
                <w:bottom w:val="nil"/>
                <w:right w:val="nil"/>
                <w:between w:val="nil"/>
              </w:pBdr>
              <w:spacing w:line="278" w:lineRule="auto"/>
              <w:rPr>
                <w:b/>
                <w:color w:val="000000"/>
              </w:rPr>
            </w:pPr>
            <w:r w:rsidRPr="001C48DB">
              <w:rPr>
                <w:b/>
                <w:color w:val="000000"/>
              </w:rPr>
              <w:t>University of Novi Sad (Serbia) - COORDINATOR</w:t>
            </w:r>
          </w:p>
          <w:p w:rsidR="00743763" w:rsidRDefault="00F81D9A">
            <w:pPr>
              <w:numPr>
                <w:ilvl w:val="0"/>
                <w:numId w:val="2"/>
              </w:numPr>
              <w:pBdr>
                <w:top w:val="nil"/>
                <w:left w:val="nil"/>
                <w:bottom w:val="nil"/>
                <w:right w:val="nil"/>
                <w:between w:val="nil"/>
              </w:pBdr>
              <w:spacing w:line="278" w:lineRule="auto"/>
              <w:rPr>
                <w:color w:val="000000"/>
              </w:rPr>
            </w:pPr>
            <w:r>
              <w:rPr>
                <w:color w:val="000000"/>
              </w:rPr>
              <w:t>University of Montenegro (Montenegro)</w:t>
            </w:r>
          </w:p>
          <w:p w:rsidR="00743763" w:rsidRDefault="00F81D9A">
            <w:pPr>
              <w:numPr>
                <w:ilvl w:val="0"/>
                <w:numId w:val="2"/>
              </w:numPr>
              <w:pBdr>
                <w:top w:val="nil"/>
                <w:left w:val="nil"/>
                <w:bottom w:val="nil"/>
                <w:right w:val="nil"/>
                <w:between w:val="nil"/>
              </w:pBdr>
              <w:spacing w:line="278" w:lineRule="auto"/>
              <w:rPr>
                <w:color w:val="000000"/>
              </w:rPr>
            </w:pPr>
            <w:r>
              <w:rPr>
                <w:color w:val="000000"/>
              </w:rPr>
              <w:t>University of Tirana (Albania)</w:t>
            </w:r>
          </w:p>
          <w:p w:rsidR="00743763" w:rsidRDefault="00F81D9A">
            <w:pPr>
              <w:numPr>
                <w:ilvl w:val="0"/>
                <w:numId w:val="2"/>
              </w:numPr>
              <w:pBdr>
                <w:top w:val="nil"/>
                <w:left w:val="nil"/>
                <w:bottom w:val="nil"/>
                <w:right w:val="nil"/>
                <w:between w:val="nil"/>
              </w:pBdr>
              <w:spacing w:line="278" w:lineRule="auto"/>
              <w:rPr>
                <w:color w:val="000000"/>
              </w:rPr>
            </w:pPr>
            <w:r>
              <w:rPr>
                <w:color w:val="000000"/>
              </w:rPr>
              <w:t>Polytechnic University of Tirana (Albania)</w:t>
            </w:r>
          </w:p>
          <w:p w:rsidR="00743763" w:rsidRDefault="00F81D9A">
            <w:pPr>
              <w:numPr>
                <w:ilvl w:val="0"/>
                <w:numId w:val="2"/>
              </w:numPr>
              <w:pBdr>
                <w:top w:val="nil"/>
                <w:left w:val="nil"/>
                <w:bottom w:val="nil"/>
                <w:right w:val="nil"/>
                <w:between w:val="nil"/>
              </w:pBdr>
              <w:spacing w:line="278" w:lineRule="auto"/>
              <w:rPr>
                <w:color w:val="000000"/>
              </w:rPr>
            </w:pPr>
            <w:r>
              <w:rPr>
                <w:color w:val="000000"/>
              </w:rPr>
              <w:t>University of Banja Luka (Bosnia and Herzegovina)</w:t>
            </w:r>
          </w:p>
          <w:p w:rsidR="00743763" w:rsidRPr="001C48DB" w:rsidRDefault="00F81D9A">
            <w:pPr>
              <w:numPr>
                <w:ilvl w:val="0"/>
                <w:numId w:val="2"/>
              </w:numPr>
              <w:pBdr>
                <w:top w:val="nil"/>
                <w:left w:val="nil"/>
                <w:bottom w:val="nil"/>
                <w:right w:val="nil"/>
                <w:between w:val="nil"/>
              </w:pBdr>
              <w:spacing w:line="278" w:lineRule="auto"/>
              <w:rPr>
                <w:color w:val="000000"/>
              </w:rPr>
            </w:pPr>
            <w:r w:rsidRPr="001C48DB">
              <w:rPr>
                <w:color w:val="000000"/>
              </w:rPr>
              <w:t>University College “CEPS-Center for Business Studies” Kiseljak (Bosnia and Herzegovina)</w:t>
            </w:r>
          </w:p>
          <w:p w:rsidR="00743763" w:rsidRDefault="00F81D9A">
            <w:pPr>
              <w:numPr>
                <w:ilvl w:val="0"/>
                <w:numId w:val="2"/>
              </w:numPr>
              <w:pBdr>
                <w:top w:val="nil"/>
                <w:left w:val="nil"/>
                <w:bottom w:val="nil"/>
                <w:right w:val="nil"/>
                <w:between w:val="nil"/>
              </w:pBdr>
              <w:spacing w:line="278" w:lineRule="auto"/>
              <w:rPr>
                <w:color w:val="000000"/>
              </w:rPr>
            </w:pPr>
            <w:r>
              <w:rPr>
                <w:color w:val="000000"/>
              </w:rPr>
              <w:t>University of Ljubljana (Slovenia)</w:t>
            </w:r>
          </w:p>
          <w:p w:rsidR="00743763" w:rsidRDefault="00F81D9A">
            <w:pPr>
              <w:numPr>
                <w:ilvl w:val="0"/>
                <w:numId w:val="2"/>
              </w:numPr>
              <w:pBdr>
                <w:top w:val="nil"/>
                <w:left w:val="nil"/>
                <w:bottom w:val="nil"/>
                <w:right w:val="nil"/>
                <w:between w:val="nil"/>
              </w:pBdr>
              <w:spacing w:line="278" w:lineRule="auto"/>
              <w:rPr>
                <w:color w:val="000000"/>
              </w:rPr>
            </w:pPr>
            <w:r>
              <w:rPr>
                <w:color w:val="000000"/>
              </w:rPr>
              <w:t>University of Zagreb (Croatia)</w:t>
            </w:r>
          </w:p>
          <w:p w:rsidR="00743763" w:rsidRPr="001C48DB" w:rsidRDefault="00F81D9A">
            <w:pPr>
              <w:numPr>
                <w:ilvl w:val="0"/>
                <w:numId w:val="2"/>
              </w:numPr>
              <w:pBdr>
                <w:top w:val="nil"/>
                <w:left w:val="nil"/>
                <w:bottom w:val="nil"/>
                <w:right w:val="nil"/>
                <w:between w:val="nil"/>
              </w:pBdr>
              <w:spacing w:line="278" w:lineRule="auto"/>
              <w:rPr>
                <w:b/>
                <w:color w:val="000000"/>
              </w:rPr>
            </w:pPr>
            <w:r w:rsidRPr="001C48DB">
              <w:rPr>
                <w:b/>
                <w:color w:val="000000"/>
              </w:rPr>
              <w:t>Ss. Cyril and Methodius University in Skopje-UKIM (N. Macedonia)</w:t>
            </w:r>
          </w:p>
          <w:p w:rsidR="00743763" w:rsidRDefault="00F81D9A">
            <w:pPr>
              <w:numPr>
                <w:ilvl w:val="0"/>
                <w:numId w:val="2"/>
              </w:numPr>
              <w:pBdr>
                <w:top w:val="nil"/>
                <w:left w:val="nil"/>
                <w:bottom w:val="nil"/>
                <w:right w:val="nil"/>
                <w:between w:val="nil"/>
              </w:pBdr>
              <w:spacing w:line="278" w:lineRule="auto"/>
              <w:rPr>
                <w:color w:val="000000"/>
              </w:rPr>
            </w:pPr>
            <w:r>
              <w:rPr>
                <w:color w:val="000000"/>
              </w:rPr>
              <w:t>Građevinarstvo – nauka i praksa – Podgorica (Montenegro)</w:t>
            </w:r>
          </w:p>
          <w:p w:rsidR="00743763" w:rsidRDefault="00F81D9A">
            <w:pPr>
              <w:numPr>
                <w:ilvl w:val="0"/>
                <w:numId w:val="2"/>
              </w:numPr>
              <w:pBdr>
                <w:top w:val="nil"/>
                <w:left w:val="nil"/>
                <w:bottom w:val="nil"/>
                <w:right w:val="nil"/>
                <w:between w:val="nil"/>
              </w:pBdr>
              <w:spacing w:line="278" w:lineRule="auto"/>
              <w:rPr>
                <w:color w:val="000000"/>
              </w:rPr>
            </w:pPr>
            <w:r>
              <w:rPr>
                <w:color w:val="000000"/>
              </w:rPr>
              <w:t>Chamber of Engineers of Montenegro (Montenegro)</w:t>
            </w:r>
          </w:p>
          <w:p w:rsidR="00743763" w:rsidRDefault="00F81D9A">
            <w:pPr>
              <w:numPr>
                <w:ilvl w:val="0"/>
                <w:numId w:val="2"/>
              </w:numPr>
              <w:pBdr>
                <w:top w:val="nil"/>
                <w:left w:val="nil"/>
                <w:bottom w:val="nil"/>
                <w:right w:val="nil"/>
                <w:between w:val="nil"/>
              </w:pBdr>
              <w:spacing w:line="278" w:lineRule="auto"/>
              <w:rPr>
                <w:color w:val="000000"/>
              </w:rPr>
            </w:pPr>
            <w:r>
              <w:rPr>
                <w:color w:val="000000"/>
              </w:rPr>
              <w:t>Environmental and Territorial Management Institute (Albania)</w:t>
            </w:r>
          </w:p>
          <w:p w:rsidR="00743763" w:rsidRDefault="00F81D9A">
            <w:pPr>
              <w:numPr>
                <w:ilvl w:val="0"/>
                <w:numId w:val="2"/>
              </w:numPr>
              <w:pBdr>
                <w:top w:val="nil"/>
                <w:left w:val="nil"/>
                <w:bottom w:val="nil"/>
                <w:right w:val="nil"/>
                <w:between w:val="nil"/>
              </w:pBdr>
              <w:spacing w:after="160" w:line="278" w:lineRule="auto"/>
              <w:rPr>
                <w:color w:val="000000"/>
              </w:rPr>
            </w:pPr>
            <w:r>
              <w:rPr>
                <w:color w:val="000000"/>
              </w:rPr>
              <w:t>Chamber of Commerce and Industry of Banja Luka Region (Bosnia and Herzegovina)</w:t>
            </w:r>
          </w:p>
          <w:p w:rsidR="00743763" w:rsidRDefault="00F81D9A">
            <w:pPr>
              <w:numPr>
                <w:ilvl w:val="0"/>
                <w:numId w:val="2"/>
              </w:numPr>
              <w:spacing w:after="160" w:line="278" w:lineRule="auto"/>
            </w:pPr>
            <w:r>
              <w:t>Chamber of Commerce of the Federation of Bosnia and Herzegovina, BiH</w:t>
            </w:r>
          </w:p>
          <w:p w:rsidR="00743763" w:rsidRDefault="00743763"/>
          <w:p w:rsidR="00743763" w:rsidRDefault="00F81D9A">
            <w:pPr>
              <w:spacing w:after="160" w:line="278" w:lineRule="auto"/>
            </w:pPr>
            <w:r>
              <w:rPr>
                <w:b/>
              </w:rPr>
              <w:t>Role in the project:</w:t>
            </w:r>
            <w:r>
              <w:br/>
              <w:t>Partner / Beneficiar</w:t>
            </w:r>
            <w:r w:rsidR="001C48DB">
              <w:t>y</w:t>
            </w:r>
            <w:r>
              <w:t xml:space="preserve"> (BEN) </w:t>
            </w:r>
          </w:p>
          <w:p w:rsidR="00743763" w:rsidRDefault="00F81D9A">
            <w:pPr>
              <w:rPr>
                <w:b/>
              </w:rPr>
            </w:pPr>
            <w:r>
              <w:rPr>
                <w:b/>
              </w:rPr>
              <w:t>Project Website:</w:t>
            </w:r>
            <w:r>
              <w:br/>
            </w:r>
            <w:hyperlink r:id="rId7">
              <w:r>
                <w:rPr>
                  <w:color w:val="0563C1"/>
                  <w:u w:val="single"/>
                </w:rPr>
                <w:t>https://skill2sustain.uns.ac.rs/</w:t>
              </w:r>
            </w:hyperlink>
            <w:r>
              <w:t xml:space="preserve"> </w:t>
            </w:r>
          </w:p>
          <w:p w:rsidR="00743763" w:rsidRDefault="00743763"/>
          <w:p w:rsidR="00743763" w:rsidRDefault="00F81D9A">
            <w:pPr>
              <w:rPr>
                <w:b/>
              </w:rPr>
            </w:pPr>
            <w:r>
              <w:rPr>
                <w:b/>
              </w:rPr>
              <w:t xml:space="preserve"> Posts related to this project:</w:t>
            </w:r>
          </w:p>
          <w:p w:rsidR="00743763" w:rsidRDefault="00F81D9A">
            <w:pPr>
              <w:numPr>
                <w:ilvl w:val="0"/>
                <w:numId w:val="3"/>
              </w:numPr>
            </w:pPr>
            <w:r>
              <w:rPr>
                <w:b/>
                <w:i/>
              </w:rPr>
              <w:t>LinkedIN</w:t>
            </w:r>
            <w:r>
              <w:t xml:space="preserve">: </w:t>
            </w:r>
            <w:hyperlink r:id="rId8">
              <w:r>
                <w:rPr>
                  <w:color w:val="0563C1"/>
                  <w:u w:val="single"/>
                </w:rPr>
                <w:t>https://www.linkedin.com/company/skill2sustain/?viewAsMember=true</w:t>
              </w:r>
            </w:hyperlink>
            <w:r>
              <w:t xml:space="preserve"> </w:t>
            </w:r>
          </w:p>
          <w:p w:rsidR="00743763" w:rsidRDefault="00743763">
            <w:pPr>
              <w:rPr>
                <w:b/>
              </w:rPr>
            </w:pPr>
          </w:p>
        </w:tc>
        <w:tc>
          <w:tcPr>
            <w:tcW w:w="3119" w:type="dxa"/>
            <w:tcBorders>
              <w:left w:val="single" w:sz="4" w:space="0" w:color="BFBFBF"/>
            </w:tcBorders>
          </w:tcPr>
          <w:p w:rsidR="00743763" w:rsidRDefault="00F81D9A">
            <w:pPr>
              <w:rPr>
                <w:b/>
              </w:rPr>
            </w:pPr>
            <w:r>
              <w:rPr>
                <w:b/>
              </w:rPr>
              <w:lastRenderedPageBreak/>
              <w:t>IMPORTANT LINKS</w:t>
            </w:r>
          </w:p>
          <w:p w:rsidR="00743763" w:rsidRDefault="00743763"/>
          <w:p w:rsidR="00743763" w:rsidRDefault="00F81D9A">
            <w:pPr>
              <w:rPr>
                <w:b/>
              </w:rPr>
            </w:pPr>
            <w:r>
              <w:rPr>
                <w:b/>
              </w:rPr>
              <w:t>Project Website</w:t>
            </w:r>
          </w:p>
          <w:p w:rsidR="00743763" w:rsidRDefault="00FB135A">
            <w:hyperlink r:id="rId9">
              <w:r w:rsidR="00F81D9A">
                <w:rPr>
                  <w:color w:val="0563C1"/>
                  <w:u w:val="single"/>
                </w:rPr>
                <w:t>https://skill2sustain.uns.ac.rs</w:t>
              </w:r>
            </w:hyperlink>
            <w:r w:rsidR="00F81D9A">
              <w:t xml:space="preserve">  </w:t>
            </w:r>
          </w:p>
          <w:p w:rsidR="00743763" w:rsidRDefault="00743763"/>
          <w:p w:rsidR="00743763" w:rsidRDefault="00F81D9A">
            <w:pPr>
              <w:rPr>
                <w:b/>
              </w:rPr>
            </w:pPr>
            <w:r>
              <w:rPr>
                <w:b/>
              </w:rPr>
              <w:t>Project social networks:</w:t>
            </w:r>
          </w:p>
          <w:p w:rsidR="00743763" w:rsidRDefault="00F81D9A">
            <w:r>
              <w:t xml:space="preserve">LinkedIN: </w:t>
            </w:r>
            <w:hyperlink r:id="rId10">
              <w:r>
                <w:rPr>
                  <w:color w:val="0563C1"/>
                  <w:u w:val="single"/>
                </w:rPr>
                <w:t>https://www.linkedin.com/company/skill2sustain/?viewAsMember=true</w:t>
              </w:r>
            </w:hyperlink>
            <w:r>
              <w:t xml:space="preserve"> </w:t>
            </w:r>
          </w:p>
          <w:p w:rsidR="00743763" w:rsidRDefault="00743763"/>
          <w:p w:rsidR="00743763" w:rsidRDefault="00743763"/>
          <w:p w:rsidR="00743763" w:rsidRDefault="00743763" w:rsidP="001C48DB"/>
        </w:tc>
      </w:tr>
    </w:tbl>
    <w:p w:rsidR="00743763" w:rsidRDefault="001C48DB">
      <w:r>
        <w:rPr>
          <w:noProof/>
        </w:rPr>
        <w:lastRenderedPageBreak/>
        <mc:AlternateContent>
          <mc:Choice Requires="wps">
            <w:drawing>
              <wp:anchor distT="45720" distB="45720" distL="114300" distR="114300" simplePos="0" relativeHeight="251658240" behindDoc="0" locked="0" layoutInCell="1" hidden="0" allowOverlap="1" wp14:anchorId="70BE9893" wp14:editId="5AF02202">
                <wp:simplePos x="0" y="0"/>
                <wp:positionH relativeFrom="column">
                  <wp:posOffset>-7620</wp:posOffset>
                </wp:positionH>
                <wp:positionV relativeFrom="paragraph">
                  <wp:posOffset>800100</wp:posOffset>
                </wp:positionV>
                <wp:extent cx="6864350" cy="733425"/>
                <wp:effectExtent l="0" t="0" r="12700" b="28575"/>
                <wp:wrapSquare wrapText="bothSides" distT="45720" distB="45720" distL="114300" distR="114300"/>
                <wp:docPr id="1503731645" name="Rectangle 1503731645"/>
                <wp:cNvGraphicFramePr/>
                <a:graphic xmlns:a="http://schemas.openxmlformats.org/drawingml/2006/main">
                  <a:graphicData uri="http://schemas.microsoft.com/office/word/2010/wordprocessingShape">
                    <wps:wsp>
                      <wps:cNvSpPr/>
                      <wps:spPr>
                        <a:xfrm>
                          <a:off x="0" y="0"/>
                          <a:ext cx="6864350" cy="733425"/>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rsidR="00743763" w:rsidRDefault="00F81D9A">
                            <w:pPr>
                              <w:spacing w:line="277" w:lineRule="auto"/>
                              <w:textDirection w:val="btLr"/>
                            </w:pPr>
                            <w:r>
                              <w:rPr>
                                <w:b/>
                                <w:color w:val="000000"/>
                              </w:rPr>
                              <w:t>“Funded by the European Union. Views and opinions expressed are however those of the author(s) only and do not necessarily reflect those of the European Union or [name of the granting authority]. Neither the European Union nor the granting authority can be held responsible for them.”</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0BE9893" id="Rectangle 1503731645" o:spid="_x0000_s1026" style="position:absolute;margin-left:-.6pt;margin-top:63pt;width:540.5pt;height:57.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" fillcolor="white [3201]" strokecolor="#70ad47 [3209]" strokeweight="1pt">
                <v:stroke startarrowwidth="narrow" startarrowlength="short" endarrowwidth="narrow" endarrowlength="short"/>
                <v:textbox inset="2.53958mm,1.2694mm,2.53958mm,1.2694mm">
                  <w:txbxContent>
                    <w:p w:rsidR="00743763" w:rsidRDefault="00F81D9A">
                      <w:pPr>
                        <w:spacing w:line="277" w:lineRule="auto"/>
                        <w:textDirection w:val="btLr"/>
                      </w:pPr>
                      <w:r>
                        <w:rPr>
                          <w:b/>
                          <w:color w:val="000000"/>
                        </w:rPr>
                        <w:t>“Funded by the European Union. Views and opinions expressed are however those of the author(s) only and do not necessarily reflect those of the European Union or [name of the granting authority]. Neither the European Union nor the granting authority can be held responsible for them.”</w:t>
                      </w:r>
                    </w:p>
                  </w:txbxContent>
                </v:textbox>
                <w10:wrap type="square"/>
              </v:rect>
            </w:pict>
          </mc:Fallback>
        </mc:AlternateContent>
      </w:r>
      <w:r w:rsidR="00F81D9A">
        <w:rPr>
          <w:noProof/>
        </w:rPr>
        <w:drawing>
          <wp:inline distT="0" distB="0" distL="0" distR="0" wp14:anchorId="481DF87E" wp14:editId="40D2CED1">
            <wp:extent cx="2374900" cy="532130"/>
            <wp:effectExtent l="0" t="0" r="0" b="0"/>
            <wp:docPr id="1503731647"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1"/>
                    <a:srcRect/>
                    <a:stretch>
                      <a:fillRect/>
                    </a:stretch>
                  </pic:blipFill>
                  <pic:spPr>
                    <a:xfrm>
                      <a:off x="0" y="0"/>
                      <a:ext cx="2374900" cy="532130"/>
                    </a:xfrm>
                    <a:prstGeom prst="rect">
                      <a:avLst/>
                    </a:prstGeom>
                    <a:ln/>
                  </pic:spPr>
                </pic:pic>
              </a:graphicData>
            </a:graphic>
          </wp:inline>
        </w:drawing>
      </w:r>
    </w:p>
    <w:p w:rsidR="00743763" w:rsidRDefault="00743763"/>
    <w:p w:rsidR="00743763" w:rsidRDefault="00743763"/>
    <w:sectPr w:rsidR="00743763">
      <w:pgSz w:w="12240" w:h="20160"/>
      <w:pgMar w:top="1440" w:right="333" w:bottom="1440" w:left="567"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1F330D"/>
    <w:multiLevelType w:val="multilevel"/>
    <w:tmpl w:val="7CE041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0C7325F"/>
    <w:multiLevelType w:val="multilevel"/>
    <w:tmpl w:val="4DF882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DD00111"/>
    <w:multiLevelType w:val="multilevel"/>
    <w:tmpl w:val="36EA3CE0"/>
    <w:lvl w:ilvl="0">
      <w:start w:val="1"/>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440" w:hanging="36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763"/>
    <w:rsid w:val="001C48DB"/>
    <w:rsid w:val="00743763"/>
    <w:rsid w:val="00F81D9A"/>
    <w:rsid w:val="00FB1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CF67E"/>
  <w15:docId w15:val="{731C0C0C-EE46-415E-B722-B6D48203A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US" w:eastAsia="en-US"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pPr>
      <w:keepNext/>
      <w:keepLines/>
      <w:spacing w:before="360" w:after="80"/>
      <w:outlineLvl w:val="0"/>
    </w:pPr>
    <w:rPr>
      <w:color w:val="2F5496"/>
      <w:sz w:val="40"/>
      <w:szCs w:val="40"/>
    </w:rPr>
  </w:style>
  <w:style w:type="paragraph" w:styleId="Heading2">
    <w:name w:val="heading 2"/>
    <w:basedOn w:val="Normal"/>
    <w:next w:val="Normal"/>
    <w:link w:val="Heading2Char"/>
    <w:pPr>
      <w:keepNext/>
      <w:keepLines/>
      <w:spacing w:before="160" w:after="80"/>
      <w:outlineLvl w:val="1"/>
    </w:pPr>
    <w:rPr>
      <w:color w:val="2F5496"/>
      <w:sz w:val="32"/>
      <w:szCs w:val="32"/>
    </w:rPr>
  </w:style>
  <w:style w:type="paragraph" w:styleId="Heading3">
    <w:name w:val="heading 3"/>
    <w:basedOn w:val="Normal"/>
    <w:next w:val="Normal"/>
    <w:link w:val="Heading3Char"/>
    <w:pPr>
      <w:keepNext/>
      <w:keepLines/>
      <w:spacing w:before="160" w:after="80"/>
      <w:outlineLvl w:val="2"/>
    </w:pPr>
    <w:rPr>
      <w:color w:val="2F5496"/>
      <w:sz w:val="28"/>
      <w:szCs w:val="28"/>
    </w:rPr>
  </w:style>
  <w:style w:type="paragraph" w:styleId="Heading4">
    <w:name w:val="heading 4"/>
    <w:basedOn w:val="Normal"/>
    <w:next w:val="Normal"/>
    <w:link w:val="Heading4Char"/>
    <w:pPr>
      <w:keepNext/>
      <w:keepLines/>
      <w:spacing w:before="80" w:after="40"/>
      <w:outlineLvl w:val="3"/>
    </w:pPr>
    <w:rPr>
      <w:i/>
      <w:color w:val="2F5496"/>
    </w:rPr>
  </w:style>
  <w:style w:type="paragraph" w:styleId="Heading5">
    <w:name w:val="heading 5"/>
    <w:basedOn w:val="Normal"/>
    <w:next w:val="Normal"/>
    <w:link w:val="Heading5Char"/>
    <w:pPr>
      <w:keepNext/>
      <w:keepLines/>
      <w:spacing w:before="80" w:after="40"/>
      <w:outlineLvl w:val="4"/>
    </w:pPr>
    <w:rPr>
      <w:color w:val="2F5496"/>
    </w:rPr>
  </w:style>
  <w:style w:type="paragraph" w:styleId="Heading6">
    <w:name w:val="heading 6"/>
    <w:basedOn w:val="Normal"/>
    <w:next w:val="Normal"/>
    <w:link w:val="Heading6Char"/>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0F43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43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43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pPr>
      <w:spacing w:after="80" w:line="240" w:lineRule="auto"/>
    </w:pPr>
    <w:rPr>
      <w:sz w:val="56"/>
      <w:szCs w:val="56"/>
    </w:rPr>
  </w:style>
  <w:style w:type="character" w:customStyle="1" w:styleId="Heading1Char">
    <w:name w:val="Heading 1 Char"/>
    <w:basedOn w:val="DefaultParagraphFont"/>
    <w:link w:val="Heading1"/>
    <w:uiPriority w:val="9"/>
    <w:rsid w:val="000F43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F43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43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F43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F43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43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43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43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4387"/>
    <w:rPr>
      <w:rFonts w:eastAsiaTheme="majorEastAsia" w:cstheme="majorBidi"/>
      <w:color w:val="272727" w:themeColor="text1" w:themeTint="D8"/>
    </w:rPr>
  </w:style>
  <w:style w:type="character" w:customStyle="1" w:styleId="TitleChar">
    <w:name w:val="Title Char"/>
    <w:basedOn w:val="DefaultParagraphFont"/>
    <w:link w:val="Title"/>
    <w:uiPriority w:val="10"/>
    <w:rsid w:val="000F4387"/>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0F43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4387"/>
    <w:pPr>
      <w:spacing w:before="160"/>
      <w:jc w:val="center"/>
    </w:pPr>
    <w:rPr>
      <w:i/>
      <w:iCs/>
      <w:color w:val="404040" w:themeColor="text1" w:themeTint="BF"/>
    </w:rPr>
  </w:style>
  <w:style w:type="character" w:customStyle="1" w:styleId="QuoteChar">
    <w:name w:val="Quote Char"/>
    <w:basedOn w:val="DefaultParagraphFont"/>
    <w:link w:val="Quote"/>
    <w:uiPriority w:val="29"/>
    <w:rsid w:val="000F4387"/>
    <w:rPr>
      <w:i/>
      <w:iCs/>
      <w:color w:val="404040" w:themeColor="text1" w:themeTint="BF"/>
    </w:rPr>
  </w:style>
  <w:style w:type="paragraph" w:styleId="ListParagraph">
    <w:name w:val="List Paragraph"/>
    <w:basedOn w:val="Normal"/>
    <w:uiPriority w:val="34"/>
    <w:qFormat/>
    <w:rsid w:val="000F4387"/>
    <w:pPr>
      <w:ind w:left="720"/>
      <w:contextualSpacing/>
    </w:pPr>
  </w:style>
  <w:style w:type="character" w:styleId="IntenseEmphasis">
    <w:name w:val="Intense Emphasis"/>
    <w:basedOn w:val="DefaultParagraphFont"/>
    <w:uiPriority w:val="21"/>
    <w:qFormat/>
    <w:rsid w:val="000F4387"/>
    <w:rPr>
      <w:i/>
      <w:iCs/>
      <w:color w:val="2F5496" w:themeColor="accent1" w:themeShade="BF"/>
    </w:rPr>
  </w:style>
  <w:style w:type="paragraph" w:styleId="IntenseQuote">
    <w:name w:val="Intense Quote"/>
    <w:basedOn w:val="Normal"/>
    <w:next w:val="Normal"/>
    <w:link w:val="IntenseQuoteChar"/>
    <w:uiPriority w:val="30"/>
    <w:qFormat/>
    <w:rsid w:val="000F43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4387"/>
    <w:rPr>
      <w:i/>
      <w:iCs/>
      <w:color w:val="2F5496" w:themeColor="accent1" w:themeShade="BF"/>
    </w:rPr>
  </w:style>
  <w:style w:type="character" w:styleId="IntenseReference">
    <w:name w:val="Intense Reference"/>
    <w:basedOn w:val="DefaultParagraphFont"/>
    <w:uiPriority w:val="32"/>
    <w:qFormat/>
    <w:rsid w:val="000F4387"/>
    <w:rPr>
      <w:b/>
      <w:bCs/>
      <w:smallCaps/>
      <w:color w:val="2F5496" w:themeColor="accent1" w:themeShade="BF"/>
      <w:spacing w:val="5"/>
    </w:rPr>
  </w:style>
  <w:style w:type="character" w:styleId="Hyperlink">
    <w:name w:val="Hyperlink"/>
    <w:basedOn w:val="DefaultParagraphFont"/>
    <w:uiPriority w:val="99"/>
    <w:unhideWhenUsed/>
    <w:rsid w:val="00D02D1D"/>
    <w:rPr>
      <w:color w:val="0563C1" w:themeColor="hyperlink"/>
      <w:u w:val="single"/>
    </w:rPr>
  </w:style>
  <w:style w:type="character" w:customStyle="1" w:styleId="UnresolvedMention">
    <w:name w:val="Unresolved Mention"/>
    <w:basedOn w:val="DefaultParagraphFont"/>
    <w:uiPriority w:val="99"/>
    <w:semiHidden/>
    <w:unhideWhenUsed/>
    <w:rsid w:val="00D02D1D"/>
    <w:rPr>
      <w:color w:val="605E5C"/>
      <w:shd w:val="clear" w:color="auto" w:fill="E1DFDD"/>
    </w:rPr>
  </w:style>
  <w:style w:type="table" w:styleId="TableGrid">
    <w:name w:val="Table Grid"/>
    <w:basedOn w:val="TableNormal"/>
    <w:uiPriority w:val="39"/>
    <w:rsid w:val="00237B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rPr>
      <w:color w:val="595959"/>
      <w:sz w:val="28"/>
      <w:szCs w:val="2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linkedin.com/company/skill2sustain/?viewAsMember=tru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skill2sustain.uns.ac.r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2.jpg"/><Relationship Id="rId5" Type="http://schemas.openxmlformats.org/officeDocument/2006/relationships/webSettings" Target="webSettings.xml"/><Relationship Id="rId10" Type="http://schemas.openxmlformats.org/officeDocument/2006/relationships/hyperlink" Target="https://www.linkedin.com/company/skill2sustain/?viewAsMember=true" TargetMode="External"/><Relationship Id="rId4" Type="http://schemas.openxmlformats.org/officeDocument/2006/relationships/settings" Target="settings.xml"/><Relationship Id="rId9" Type="http://schemas.openxmlformats.org/officeDocument/2006/relationships/hyperlink" Target="https://skill2sustain.uns.ac.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uB74pqSV7La2Bw8DeVUGtaqMPg==">CgMxLjA4AHIhMXdOeHpWNWdPdlFmV252SmtndlN2WGdzT2I3VDFkanIz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624</Words>
  <Characters>3560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 Pa</dc:creator>
  <cp:lastModifiedBy>Meri</cp:lastModifiedBy>
  <cp:revision>4</cp:revision>
  <dcterms:created xsi:type="dcterms:W3CDTF">2025-10-10T13:38:00Z</dcterms:created>
  <dcterms:modified xsi:type="dcterms:W3CDTF">2025-11-24T12:37:00Z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d1e3e9c0-0056-441b-9e34-b243a2273c90</vt:lpwstr>
  </property>
</Properties>
</file>